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val="en-US" w:eastAsia="zh-CN"/>
        </w:rPr>
        <w:t>友谊县</w:t>
      </w:r>
      <w:r>
        <w:rPr>
          <w:rFonts w:hint="eastAsia" w:ascii="黑体" w:eastAsia="黑体"/>
          <w:sz w:val="44"/>
          <w:szCs w:val="44"/>
        </w:rPr>
        <w:t>转移支付有关情况的说明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一、友谊县2023年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预计为</w:t>
      </w:r>
      <w:r>
        <w:rPr>
          <w:rFonts w:hint="eastAsia" w:ascii="仿宋_GB2312" w:hAnsi="仿宋_GB2312" w:eastAsia="仿宋_GB2312" w:cs="仿宋_GB2312"/>
          <w:sz w:val="32"/>
          <w:szCs w:val="32"/>
        </w:rPr>
        <w:t>106823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85364万元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，上年结余收入21329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从政府性基金预算调入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48万元，动用预算稳定调节基金82万元。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上级补助收入包含：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返还性收入4893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（其中：增值税和消费税税收返还收入3563万元，所得税基数返还收入44万元，成品油价格和税费改革税收返还收入873万元，增值税五五分享税收返还收入335万元，其他税收返还收入78万元）；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一般性转移支付收入80149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（其中：均衡性转移支付收入33150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县级基本财力保障机制奖补资金收入7541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产粮（油）大县奖励资金收入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，结算补助收入144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14235万元，巩固脱贫攻坚成果衔接乡村振兴转移支付收入2137万元，共同财政事权转移支付收入21056万元）。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转移性支出预计共1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万元，其中包括：上解支出18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地方政府一般债务还本支出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OThiMTBjZjQxNGYwNDQxZWFmMjgwMTM5OGVmMzEifQ=="/>
  </w:docVars>
  <w:rsids>
    <w:rsidRoot w:val="00000000"/>
    <w:rsid w:val="00147691"/>
    <w:rsid w:val="025E1BC6"/>
    <w:rsid w:val="041F0F8C"/>
    <w:rsid w:val="2253609B"/>
    <w:rsid w:val="239D4F31"/>
    <w:rsid w:val="28021CC9"/>
    <w:rsid w:val="63707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427</Characters>
  <Lines>0</Lines>
  <Paragraphs>0</Paragraphs>
  <TotalTime>13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WPS_1482220070</cp:lastModifiedBy>
  <dcterms:modified xsi:type="dcterms:W3CDTF">2023-02-02T06:30:10Z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0064A43BE0A5439E86BDD697A22A96DE</vt:lpwstr>
  </property>
</Properties>
</file>